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302F2" w14:textId="77777777" w:rsidR="00932DC2" w:rsidRPr="00932DC2" w:rsidRDefault="00932DC2" w:rsidP="00932DC2">
      <w:pPr>
        <w:shd w:val="clear" w:color="auto" w:fill="FFFFFF"/>
        <w:spacing w:line="240" w:lineRule="auto"/>
        <w:textAlignment w:val="baseline"/>
        <w:rPr>
          <w:rFonts w:ascii="Lato" w:eastAsia="Times New Roman" w:hAnsi="Lato" w:cs="Times New Roman"/>
          <w:color w:val="404040"/>
          <w:sz w:val="24"/>
          <w:szCs w:val="24"/>
          <w:lang w:eastAsia="de-DE"/>
        </w:rPr>
      </w:pPr>
      <w:r w:rsidRPr="00932DC2">
        <w:rPr>
          <w:rFonts w:ascii="inherit" w:eastAsia="Times New Roman" w:hAnsi="inherit" w:cs="Times New Roman"/>
          <w:noProof/>
          <w:color w:val="B1A287"/>
          <w:sz w:val="24"/>
          <w:szCs w:val="24"/>
          <w:bdr w:val="none" w:sz="0" w:space="0" w:color="auto" w:frame="1"/>
          <w:lang w:eastAsia="de-DE"/>
        </w:rPr>
        <w:drawing>
          <wp:inline distT="0" distB="0" distL="0" distR="0" wp14:anchorId="2E9FA4C3" wp14:editId="3D808BA1">
            <wp:extent cx="2381250" cy="2124075"/>
            <wp:effectExtent l="0" t="0" r="0" b="9525"/>
            <wp:docPr id="1" name="Bild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124075"/>
                    </a:xfrm>
                    <a:prstGeom prst="rect">
                      <a:avLst/>
                    </a:prstGeom>
                    <a:noFill/>
                    <a:ln>
                      <a:noFill/>
                    </a:ln>
                  </pic:spPr>
                </pic:pic>
              </a:graphicData>
            </a:graphic>
          </wp:inline>
        </w:drawing>
      </w:r>
    </w:p>
    <w:p w14:paraId="4DB4A686" w14:textId="77777777" w:rsidR="00932DC2" w:rsidRPr="00932DC2" w:rsidRDefault="00932DC2" w:rsidP="00932DC2">
      <w:pPr>
        <w:shd w:val="clear" w:color="auto" w:fill="FFFFFF"/>
        <w:spacing w:after="150" w:line="351" w:lineRule="atLeast"/>
        <w:textAlignment w:val="baseline"/>
        <w:outlineLvl w:val="3"/>
        <w:rPr>
          <w:rFonts w:ascii="inherit" w:eastAsia="Times New Roman" w:hAnsi="inherit" w:cs="Times New Roman"/>
          <w:b/>
          <w:bCs/>
          <w:color w:val="404040"/>
          <w:sz w:val="27"/>
          <w:szCs w:val="27"/>
          <w:lang w:eastAsia="de-DE"/>
        </w:rPr>
      </w:pPr>
      <w:r w:rsidRPr="00932DC2">
        <w:rPr>
          <w:rFonts w:ascii="inherit" w:eastAsia="Times New Roman" w:hAnsi="inherit" w:cs="Times New Roman"/>
          <w:b/>
          <w:bCs/>
          <w:color w:val="404040"/>
          <w:sz w:val="27"/>
          <w:szCs w:val="27"/>
          <w:lang w:eastAsia="de-DE"/>
        </w:rPr>
        <w:t>Werke von Johann Martin Blochwitz, Georg Philipp Telemann, Carl Philipp Emanuel Bach und Johann Sebastian Bach</w:t>
      </w:r>
    </w:p>
    <w:p w14:paraId="26654DC1" w14:textId="77777777" w:rsidR="00932DC2" w:rsidRPr="00932DC2" w:rsidRDefault="00932DC2" w:rsidP="00932DC2">
      <w:pPr>
        <w:shd w:val="clear" w:color="auto" w:fill="FFFFFF"/>
        <w:spacing w:after="150" w:line="585" w:lineRule="atLeast"/>
        <w:textAlignment w:val="baseline"/>
        <w:outlineLvl w:val="0"/>
        <w:rPr>
          <w:rFonts w:ascii="Helvetica" w:eastAsia="Times New Roman" w:hAnsi="Helvetica" w:cs="Helvetica"/>
          <w:b/>
          <w:bCs/>
          <w:color w:val="404040"/>
          <w:kern w:val="36"/>
          <w:sz w:val="45"/>
          <w:szCs w:val="45"/>
          <w:lang w:eastAsia="de-DE"/>
        </w:rPr>
      </w:pPr>
      <w:r w:rsidRPr="00932DC2">
        <w:rPr>
          <w:rFonts w:ascii="Helvetica" w:eastAsia="Times New Roman" w:hAnsi="Helvetica" w:cs="Helvetica"/>
          <w:b/>
          <w:bCs/>
          <w:color w:val="404040"/>
          <w:kern w:val="36"/>
          <w:sz w:val="45"/>
          <w:szCs w:val="45"/>
          <w:lang w:eastAsia="de-DE"/>
        </w:rPr>
        <w:t>Suite imaginaire</w:t>
      </w:r>
    </w:p>
    <w:p w14:paraId="1764AE3F" w14:textId="77777777" w:rsidR="00932DC2" w:rsidRPr="00932DC2" w:rsidRDefault="00932DC2" w:rsidP="00932DC2">
      <w:pPr>
        <w:shd w:val="clear" w:color="auto" w:fill="FFFFFF"/>
        <w:spacing w:after="150" w:line="330" w:lineRule="atLeast"/>
        <w:textAlignment w:val="baseline"/>
        <w:outlineLvl w:val="1"/>
        <w:rPr>
          <w:rFonts w:ascii="Helvetica" w:eastAsia="Times New Roman" w:hAnsi="Helvetica" w:cs="Helvetica"/>
          <w:b/>
          <w:bCs/>
          <w:color w:val="404040"/>
          <w:sz w:val="30"/>
          <w:szCs w:val="30"/>
          <w:lang w:eastAsia="de-DE"/>
        </w:rPr>
      </w:pPr>
      <w:r w:rsidRPr="00932DC2">
        <w:rPr>
          <w:rFonts w:ascii="Helvetica" w:eastAsia="Times New Roman" w:hAnsi="Helvetica" w:cs="Helvetica"/>
          <w:b/>
          <w:bCs/>
          <w:color w:val="404040"/>
          <w:sz w:val="30"/>
          <w:szCs w:val="30"/>
          <w:lang w:eastAsia="de-DE"/>
        </w:rPr>
        <w:t>Baroque Works for Solo Flute, Anna Garzuly-Wahlgren (Flöte)</w:t>
      </w:r>
    </w:p>
    <w:p w14:paraId="0C7D6528" w14:textId="77777777" w:rsidR="00932DC2" w:rsidRPr="00932DC2" w:rsidRDefault="00932DC2" w:rsidP="00932DC2">
      <w:pPr>
        <w:shd w:val="clear" w:color="auto" w:fill="FFFFFF"/>
        <w:spacing w:after="0" w:line="240" w:lineRule="auto"/>
        <w:textAlignment w:val="baseline"/>
        <w:rPr>
          <w:rFonts w:ascii="inherit" w:eastAsia="Times New Roman" w:hAnsi="inherit" w:cs="Times New Roman"/>
          <w:color w:val="404040"/>
          <w:sz w:val="24"/>
          <w:szCs w:val="24"/>
          <w:lang w:eastAsia="de-DE"/>
        </w:rPr>
      </w:pPr>
      <w:r w:rsidRPr="00932DC2">
        <w:rPr>
          <w:rFonts w:ascii="inherit" w:eastAsia="Times New Roman" w:hAnsi="inherit" w:cs="Times New Roman"/>
          <w:color w:val="404040"/>
          <w:sz w:val="24"/>
          <w:szCs w:val="24"/>
          <w:lang w:eastAsia="de-DE"/>
        </w:rPr>
        <w:t>Rubrik: CDs</w:t>
      </w:r>
    </w:p>
    <w:p w14:paraId="419E60D6" w14:textId="77777777" w:rsidR="00932DC2" w:rsidRPr="00932DC2" w:rsidRDefault="00932DC2" w:rsidP="00932DC2">
      <w:pPr>
        <w:shd w:val="clear" w:color="auto" w:fill="FFFFFF"/>
        <w:spacing w:after="0" w:line="240" w:lineRule="auto"/>
        <w:textAlignment w:val="baseline"/>
        <w:rPr>
          <w:rFonts w:ascii="inherit" w:eastAsia="Times New Roman" w:hAnsi="inherit" w:cs="Times New Roman"/>
          <w:color w:val="404040"/>
          <w:sz w:val="24"/>
          <w:szCs w:val="24"/>
          <w:lang w:eastAsia="de-DE"/>
        </w:rPr>
      </w:pPr>
      <w:r w:rsidRPr="00932DC2">
        <w:rPr>
          <w:rFonts w:ascii="inherit" w:eastAsia="Times New Roman" w:hAnsi="inherit" w:cs="Times New Roman"/>
          <w:color w:val="404040"/>
          <w:sz w:val="24"/>
          <w:szCs w:val="24"/>
          <w:lang w:eastAsia="de-DE"/>
        </w:rPr>
        <w:t>Verlag/Label: Genuin</w:t>
      </w:r>
      <w:r w:rsidRPr="00932DC2">
        <w:rPr>
          <w:rFonts w:ascii="inherit" w:eastAsia="Times New Roman" w:hAnsi="inherit" w:cs="Times New Roman"/>
          <w:color w:val="404040"/>
          <w:sz w:val="24"/>
          <w:szCs w:val="24"/>
          <w:lang w:eastAsia="de-DE"/>
        </w:rPr>
        <w:br/>
        <w:t>erschienen in: </w:t>
      </w:r>
      <w:hyperlink r:id="rId6" w:history="1">
        <w:r w:rsidRPr="00932DC2">
          <w:rPr>
            <w:rFonts w:ascii="inherit" w:eastAsia="Times New Roman" w:hAnsi="inherit" w:cs="Times New Roman"/>
            <w:color w:val="B1A287"/>
            <w:sz w:val="24"/>
            <w:szCs w:val="24"/>
            <w:u w:val="single"/>
            <w:bdr w:val="none" w:sz="0" w:space="0" w:color="auto" w:frame="1"/>
            <w:lang w:eastAsia="de-DE"/>
          </w:rPr>
          <w:t>das Orchester 12/2018</w:t>
        </w:r>
      </w:hyperlink>
      <w:r w:rsidRPr="00932DC2">
        <w:rPr>
          <w:rFonts w:ascii="inherit" w:eastAsia="Times New Roman" w:hAnsi="inherit" w:cs="Times New Roman"/>
          <w:color w:val="404040"/>
          <w:sz w:val="24"/>
          <w:szCs w:val="24"/>
          <w:lang w:eastAsia="de-DE"/>
        </w:rPr>
        <w:t> , Seite 77</w:t>
      </w:r>
    </w:p>
    <w:p w14:paraId="73F5B925" w14:textId="77777777" w:rsidR="00932DC2" w:rsidRPr="00932DC2" w:rsidRDefault="00932DC2" w:rsidP="00932DC2">
      <w:pPr>
        <w:shd w:val="clear" w:color="auto" w:fill="FFFFFF"/>
        <w:spacing w:after="0" w:line="240" w:lineRule="auto"/>
        <w:textAlignment w:val="baseline"/>
        <w:rPr>
          <w:rFonts w:ascii="inherit" w:eastAsia="Times New Roman" w:hAnsi="inherit" w:cs="Times New Roman"/>
          <w:color w:val="404040"/>
          <w:sz w:val="24"/>
          <w:szCs w:val="24"/>
          <w:lang w:eastAsia="de-DE"/>
        </w:rPr>
      </w:pPr>
      <w:hyperlink r:id="rId7" w:tgtFrame="_blank" w:history="1">
        <w:r w:rsidRPr="00932DC2">
          <w:rPr>
            <w:rFonts w:ascii="inherit" w:eastAsia="Times New Roman" w:hAnsi="inherit" w:cs="Times New Roman"/>
            <w:b/>
            <w:bCs/>
            <w:caps/>
            <w:color w:val="FFFFFF"/>
            <w:sz w:val="24"/>
            <w:szCs w:val="24"/>
            <w:u w:val="single"/>
            <w:bdr w:val="none" w:sz="0" w:space="0" w:color="auto" w:frame="1"/>
            <w:shd w:val="clear" w:color="auto" w:fill="B1A287"/>
            <w:lang w:eastAsia="de-DE"/>
          </w:rPr>
          <w:t>BESTELLEN</w:t>
        </w:r>
      </w:hyperlink>
    </w:p>
    <w:p w14:paraId="34CCC49E" w14:textId="77777777" w:rsidR="00932DC2" w:rsidRPr="00932DC2" w:rsidRDefault="00932DC2" w:rsidP="00932DC2">
      <w:pPr>
        <w:shd w:val="clear" w:color="auto" w:fill="FFFFFF"/>
        <w:spacing w:after="360" w:line="240" w:lineRule="auto"/>
        <w:textAlignment w:val="baseline"/>
        <w:rPr>
          <w:rFonts w:ascii="inherit" w:eastAsia="Times New Roman" w:hAnsi="inherit" w:cs="Times New Roman"/>
          <w:color w:val="404040"/>
          <w:sz w:val="24"/>
          <w:szCs w:val="24"/>
          <w:lang w:eastAsia="de-DE"/>
        </w:rPr>
      </w:pPr>
      <w:r w:rsidRPr="00932DC2">
        <w:rPr>
          <w:rFonts w:ascii="inherit" w:eastAsia="Times New Roman" w:hAnsi="inherit" w:cs="Times New Roman"/>
          <w:color w:val="404040"/>
          <w:sz w:val="24"/>
          <w:szCs w:val="24"/>
          <w:lang w:eastAsia="de-DE"/>
        </w:rPr>
        <w:t>Die Auswahl an Kompositionen für Soloflöte in der ersten Hälfte des 18. Jahrhunderts ist gut überschaubar, und so sind auch hier Johann Sebastians Partita, Carl Philipp Emanuels Sonate und Telemanns Fantasien mit im Spiel. Neu in diesem Zusammenhang ist nur der Name Johann Martin Blochwitz, der wie sein berühmterer Kollege Pierre-Gabriel Buffardin Mitglied der Dresdener Hofkapelle war und ebenso wie dieser Einfluss auf die virtuose Ausgestaltung von Bachs Flötenpartien gehabt haben könnte. Das Booklet berichtet diesbezüglich von neuen, aber noch unveröffentlichten Forschungsergebnissen (Daisuke Morota).</w:t>
      </w:r>
      <w:r w:rsidRPr="00932DC2">
        <w:rPr>
          <w:rFonts w:ascii="inherit" w:eastAsia="Times New Roman" w:hAnsi="inherit" w:cs="Times New Roman"/>
          <w:color w:val="404040"/>
          <w:sz w:val="24"/>
          <w:szCs w:val="24"/>
          <w:lang w:eastAsia="de-DE"/>
        </w:rPr>
        <w:br/>
        <w:t>Überliefert von Blochwitz sind ausschließlich Kompositionen für Flöte und Bass, Sechtzig Arien: eingetheilet in funffzehn Suitten und eine Sonate in G-Dur. Die hier gespielten Suitensätze sind dem 1978 bei Amadeus erschienenen Heft Quantz Capricen entnommen, einer Sammlung von Stücken verschiedener und teilweise noch ungeklärter Provenienz. Ausgewählt wurden die Allemande Nr. 45, die Courente Nr. 42, die Sarabande Nr. 43 und die Gigue Nr. 57. Die Courente ist, wie Barthold Kuijken festgestellt hat (Tibia 1/2006), die Bearbeitung eines Satzes aus einer Lautensuite von Sylvius Leopold Weiss, die Flötenfassung selbst ist möglicherweise von Blochwitz.</w:t>
      </w:r>
      <w:r w:rsidRPr="00932DC2">
        <w:rPr>
          <w:rFonts w:ascii="inherit" w:eastAsia="Times New Roman" w:hAnsi="inherit" w:cs="Times New Roman"/>
          <w:color w:val="404040"/>
          <w:sz w:val="24"/>
          <w:szCs w:val="24"/>
          <w:lang w:eastAsia="de-DE"/>
        </w:rPr>
        <w:br/>
        <w:t>Als Suite imaginaire bilden die vier in e-Moll stehenden Sätze das Motto der Einspielung, sind doch für die Interpretation von Musik aus dieser Zeit Fantasie bzw. Vorstellungskraft unerlässlich, weil es darum geht, die „Welt jenseits des in Buchstaben oder Notenzeichen Fixierten“ zu finden. Dass nicht zuviel versprochen wird, zeigen die beiden Telemann-Fantasien (2. Fantasie a-Moll und 8. Fantasie e-Moll), die wie gerade erfunden ihrem Namen alle Ehre machen.</w:t>
      </w:r>
      <w:r w:rsidRPr="00932DC2">
        <w:rPr>
          <w:rFonts w:ascii="inherit" w:eastAsia="Times New Roman" w:hAnsi="inherit" w:cs="Times New Roman"/>
          <w:color w:val="404040"/>
          <w:sz w:val="24"/>
          <w:szCs w:val="24"/>
          <w:lang w:eastAsia="de-DE"/>
        </w:rPr>
        <w:br/>
        <w:t xml:space="preserve">Bachs Allemande mit ihrem in durchgehenden Sechzehnteln verlaufenden, ganz vom Tanzcharakter wegführenden harmonischen Geschehen ist immer wieder eine Herausforderung und ein besonderes Beispiel für damals mögliche „Spielräume“. Bewundernswert, wie hier durch Tempowahl und Atembeherrschung aus Klang Form </w:t>
      </w:r>
      <w:r w:rsidRPr="00932DC2">
        <w:rPr>
          <w:rFonts w:ascii="inherit" w:eastAsia="Times New Roman" w:hAnsi="inherit" w:cs="Times New Roman"/>
          <w:color w:val="404040"/>
          <w:sz w:val="24"/>
          <w:szCs w:val="24"/>
          <w:lang w:eastAsia="de-DE"/>
        </w:rPr>
        <w:lastRenderedPageBreak/>
        <w:t>entsteht. In der schon im neuen Stil komponierten Solosonate des Sohnes gehören dann Artikulation, Dynamik und Verzierungen zur Darstellung des Affekts und sind deshalb deutlich mehr im Notentext enthalten.</w:t>
      </w:r>
      <w:r w:rsidRPr="00932DC2">
        <w:rPr>
          <w:rFonts w:ascii="inherit" w:eastAsia="Times New Roman" w:hAnsi="inherit" w:cs="Times New Roman"/>
          <w:color w:val="404040"/>
          <w:sz w:val="24"/>
          <w:szCs w:val="24"/>
          <w:lang w:eastAsia="de-DE"/>
        </w:rPr>
        <w:br/>
        <w:t>Anna Garzuly-Wahlgren, Flötistin des Gewandhausorchesters und des renommierten Flöten-Ensembles Quintessenz, spielt ihr Programm auf einer modernen Flöte aus Holz aus der Werkstatt Powell. Durch musikalisch und technisch deutliches, im schönsten Sinn gesangliches Spiel von brillanter und doch leicht wirkender Virtuosität gelingt es ihr, die Klangvorstellungen der Barockzeit umzusetzen ohne aufführungspraktische Erkenntnisse zu vernachlässigen. Auch bei wiederholtem Zuhören scheint die Zeit wie im Flug zu vergehen – ein überzeugender Beweis dafür, dass man den Anforderungen dieser Musik mit heutigen instrumentalen Möglichkeiten geradezu vorbildlich gerecht werden kann.</w:t>
      </w:r>
      <w:r w:rsidRPr="00932DC2">
        <w:rPr>
          <w:rFonts w:ascii="inherit" w:eastAsia="Times New Roman" w:hAnsi="inherit" w:cs="Times New Roman"/>
          <w:color w:val="404040"/>
          <w:sz w:val="24"/>
          <w:szCs w:val="24"/>
          <w:lang w:eastAsia="de-DE"/>
        </w:rPr>
        <w:br/>
        <w:t>Ursula Pešek</w:t>
      </w:r>
    </w:p>
    <w:p w14:paraId="424280C6" w14:textId="77777777" w:rsidR="005266F9" w:rsidRDefault="005266F9"/>
    <w:sectPr w:rsidR="005266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panose1 w:val="020F0502020204030203"/>
    <w:charset w:val="00"/>
    <w:family w:val="swiss"/>
    <w:pitch w:val="variable"/>
    <w:sig w:usb0="800000AF" w:usb1="40006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F9"/>
    <w:rsid w:val="005266F9"/>
    <w:rsid w:val="00932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ACBD"/>
  <w15:chartTrackingRefBased/>
  <w15:docId w15:val="{C6F5BA24-28C3-4998-8878-3E1D22AF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76614">
      <w:bodyDiv w:val="1"/>
      <w:marLeft w:val="0"/>
      <w:marRight w:val="0"/>
      <w:marTop w:val="0"/>
      <w:marBottom w:val="0"/>
      <w:divBdr>
        <w:top w:val="none" w:sz="0" w:space="0" w:color="auto"/>
        <w:left w:val="none" w:sz="0" w:space="0" w:color="auto"/>
        <w:bottom w:val="none" w:sz="0" w:space="0" w:color="auto"/>
        <w:right w:val="none" w:sz="0" w:space="0" w:color="auto"/>
      </w:divBdr>
      <w:divsChild>
        <w:div w:id="1316180251">
          <w:marLeft w:val="0"/>
          <w:marRight w:val="480"/>
          <w:marTop w:val="0"/>
          <w:marBottom w:val="240"/>
          <w:divBdr>
            <w:top w:val="none" w:sz="0" w:space="0" w:color="auto"/>
            <w:left w:val="none" w:sz="0" w:space="0" w:color="auto"/>
            <w:bottom w:val="none" w:sz="0" w:space="0" w:color="auto"/>
            <w:right w:val="none" w:sz="0" w:space="0" w:color="auto"/>
          </w:divBdr>
        </w:div>
        <w:div w:id="1570264462">
          <w:marLeft w:val="0"/>
          <w:marRight w:val="0"/>
          <w:marTop w:val="0"/>
          <w:marBottom w:val="0"/>
          <w:divBdr>
            <w:top w:val="none" w:sz="0" w:space="0" w:color="auto"/>
            <w:left w:val="none" w:sz="0" w:space="0" w:color="auto"/>
            <w:bottom w:val="none" w:sz="0" w:space="0" w:color="auto"/>
            <w:right w:val="none" w:sz="0" w:space="0" w:color="auto"/>
          </w:divBdr>
          <w:divsChild>
            <w:div w:id="1208252479">
              <w:marLeft w:val="0"/>
              <w:marRight w:val="0"/>
              <w:marTop w:val="450"/>
              <w:marBottom w:val="0"/>
              <w:divBdr>
                <w:top w:val="none" w:sz="0" w:space="0" w:color="auto"/>
                <w:left w:val="none" w:sz="0" w:space="0" w:color="auto"/>
                <w:bottom w:val="none" w:sz="0" w:space="0" w:color="auto"/>
                <w:right w:val="none" w:sz="0" w:space="0" w:color="auto"/>
              </w:divBdr>
              <w:divsChild>
                <w:div w:id="251092810">
                  <w:marLeft w:val="0"/>
                  <w:marRight w:val="0"/>
                  <w:marTop w:val="0"/>
                  <w:marBottom w:val="0"/>
                  <w:divBdr>
                    <w:top w:val="none" w:sz="0" w:space="0" w:color="auto"/>
                    <w:left w:val="none" w:sz="0" w:space="0" w:color="auto"/>
                    <w:bottom w:val="none" w:sz="0" w:space="0" w:color="auto"/>
                    <w:right w:val="none" w:sz="0" w:space="0" w:color="auto"/>
                  </w:divBdr>
                </w:div>
              </w:divsChild>
            </w:div>
            <w:div w:id="1087194424">
              <w:marLeft w:val="0"/>
              <w:marRight w:val="0"/>
              <w:marTop w:val="240"/>
              <w:marBottom w:val="0"/>
              <w:divBdr>
                <w:top w:val="none" w:sz="0" w:space="0" w:color="auto"/>
                <w:left w:val="none" w:sz="0" w:space="0" w:color="auto"/>
                <w:bottom w:val="none" w:sz="0" w:space="0" w:color="auto"/>
                <w:right w:val="none" w:sz="0" w:space="0" w:color="auto"/>
              </w:divBdr>
            </w:div>
            <w:div w:id="325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c.de/jpcng/classic/detail/-/art/blochwitz-telemann-bach-suite/hnum/8215713?iampartner=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sorchester.de/ausgabe/koerper-und-seele-in-einklang/" TargetMode="External"/><Relationship Id="rId5" Type="http://schemas.openxmlformats.org/officeDocument/2006/relationships/image" Target="media/image1.jpeg"/><Relationship Id="rId4" Type="http://schemas.openxmlformats.org/officeDocument/2006/relationships/hyperlink" Target="https://dasorchester.de/ausgabe/koerper-und-seele-in-einklan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2957</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wahlgren garzuly</dc:creator>
  <cp:keywords/>
  <dc:description/>
  <cp:lastModifiedBy>wahlgren garzuly</cp:lastModifiedBy>
  <cp:revision>2</cp:revision>
  <cp:lastPrinted>2021-02-05T00:14:00Z</cp:lastPrinted>
  <dcterms:created xsi:type="dcterms:W3CDTF">2021-02-05T00:15:00Z</dcterms:created>
  <dcterms:modified xsi:type="dcterms:W3CDTF">2021-02-05T00:15:00Z</dcterms:modified>
</cp:coreProperties>
</file>